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  <w:bookmarkStart w:id="0" w:name="_Toc346183627"/>
      <w:bookmarkStart w:id="1" w:name="_Toc346701723"/>
      <w:bookmarkStart w:id="2" w:name="_Toc346703481"/>
      <w:bookmarkStart w:id="3" w:name="_Toc467870776"/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荥阳市公共资源交易中心</w:t>
      </w:r>
    </w:p>
    <w:p>
      <w:pPr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电子招投标交易平台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44"/>
        </w:rPr>
      </w:pPr>
      <w:r>
        <w:rPr>
          <w:rFonts w:hint="eastAsia"/>
          <w:b/>
          <w:sz w:val="52"/>
          <w:szCs w:val="44"/>
        </w:rPr>
        <w:t>竞买人操作手册</w:t>
      </w:r>
    </w:p>
    <w:p>
      <w:pPr>
        <w:ind w:firstLine="0" w:firstLineChars="0"/>
        <w:rPr>
          <w:b/>
          <w:sz w:val="52"/>
          <w:szCs w:val="44"/>
        </w:rPr>
      </w:pPr>
    </w:p>
    <w:p>
      <w:pPr>
        <w:ind w:firstLine="0" w:firstLineChars="0"/>
        <w:rPr>
          <w:b/>
          <w:sz w:val="52"/>
          <w:szCs w:val="44"/>
        </w:rPr>
      </w:pP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</w:pPr>
      <w:r>
        <w:br w:type="page"/>
      </w:r>
    </w:p>
    <w:p>
      <w:pPr>
        <w:spacing w:line="240" w:lineRule="auto"/>
        <w:ind w:firstLine="0" w:firstLineChars="0"/>
        <w:jc w:val="center"/>
      </w:pPr>
      <w:r>
        <w:rPr>
          <w:rFonts w:ascii="宋体" w:hAnsi="宋体"/>
        </w:rPr>
        <w:t>目录</w:t>
      </w:r>
    </w:p>
    <w:p>
      <w:pPr>
        <w:pStyle w:val="11"/>
        <w:tabs>
          <w:tab w:val="left" w:pos="126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HYPERLINK  \l "_Toc526839346" </w:instrText>
      </w:r>
      <w:r>
        <w:fldChar w:fldCharType="separate"/>
      </w:r>
      <w:r>
        <w:rPr>
          <w:rStyle w:val="15"/>
          <w:rFonts w:hint="eastAsia"/>
        </w:rPr>
        <w:t>一、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_Toc526839346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"_Toc526839347" </w:instrText>
      </w:r>
      <w:r>
        <w:fldChar w:fldCharType="separate"/>
      </w:r>
      <w:r>
        <w:rPr>
          <w:rStyle w:val="15"/>
          <w:rFonts w:hint="eastAsia"/>
        </w:rPr>
        <w:t>1.1、 浏览器配置</w:t>
      </w:r>
      <w:r>
        <w:tab/>
      </w:r>
      <w:r>
        <w:fldChar w:fldCharType="begin"/>
      </w:r>
      <w:r>
        <w:instrText xml:space="preserve"> PAGEREF _Toc526839347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"_Toc526839348" </w:instrText>
      </w:r>
      <w:r>
        <w:fldChar w:fldCharType="separate"/>
      </w:r>
      <w:r>
        <w:rPr>
          <w:rStyle w:val="15"/>
          <w:rFonts w:hint="eastAsia"/>
        </w:rPr>
        <w:t>1.1.1、 设置可信任站点</w:t>
      </w:r>
      <w:r>
        <w:tab/>
      </w:r>
      <w:r>
        <w:fldChar w:fldCharType="begin"/>
      </w:r>
      <w:r>
        <w:instrText xml:space="preserve"> PAGEREF _Toc526839348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"_Toc526839349" </w:instrText>
      </w:r>
      <w:r>
        <w:fldChar w:fldCharType="separate"/>
      </w:r>
      <w:r>
        <w:rPr>
          <w:rStyle w:val="15"/>
          <w:rFonts w:hint="eastAsia"/>
        </w:rPr>
        <w:t>1.1.2、 关闭拦截工具</w:t>
      </w:r>
      <w:r>
        <w:tab/>
      </w:r>
      <w:r>
        <w:fldChar w:fldCharType="begin"/>
      </w:r>
      <w:r>
        <w:instrText xml:space="preserve"> PAGEREF _Toc526839349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1"/>
        <w:tabs>
          <w:tab w:val="left" w:pos="126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"_Toc526839350" </w:instrText>
      </w:r>
      <w:r>
        <w:fldChar w:fldCharType="separate"/>
      </w:r>
      <w:r>
        <w:rPr>
          <w:rStyle w:val="15"/>
          <w:rFonts w:hint="eastAsia"/>
        </w:rPr>
        <w:t>二、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</w:rPr>
        <w:t>系统登陆</w:t>
      </w:r>
      <w:r>
        <w:tab/>
      </w:r>
      <w:r>
        <w:fldChar w:fldCharType="begin"/>
      </w:r>
      <w:r>
        <w:instrText xml:space="preserve"> PAGEREF _Toc526839350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left" w:pos="126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"_Toc526839351" </w:instrText>
      </w:r>
      <w:r>
        <w:fldChar w:fldCharType="separate"/>
      </w:r>
      <w:r>
        <w:rPr>
          <w:rStyle w:val="15"/>
          <w:rFonts w:hint="eastAsia"/>
        </w:rPr>
        <w:t>三、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</w:rPr>
        <w:t>竞价报名</w:t>
      </w:r>
      <w:r>
        <w:tab/>
      </w:r>
      <w:r>
        <w:fldChar w:fldCharType="begin"/>
      </w:r>
      <w:r>
        <w:instrText xml:space="preserve"> PAGEREF _Toc526839351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"_Toc526839352" </w:instrText>
      </w:r>
      <w:r>
        <w:fldChar w:fldCharType="separate"/>
      </w:r>
      <w:r>
        <w:rPr>
          <w:rStyle w:val="15"/>
          <w:rFonts w:hint="eastAsia"/>
        </w:rPr>
        <w:t>3.1、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</w:rPr>
        <w:t>阅读报名规则</w:t>
      </w:r>
      <w:r>
        <w:tab/>
      </w:r>
      <w:r>
        <w:fldChar w:fldCharType="begin"/>
      </w:r>
      <w:r>
        <w:instrText xml:space="preserve"> PAGEREF _Toc526839352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"_Toc526839353" </w:instrText>
      </w:r>
      <w:r>
        <w:fldChar w:fldCharType="separate"/>
      </w:r>
      <w:r>
        <w:rPr>
          <w:rStyle w:val="15"/>
          <w:rFonts w:hint="eastAsia"/>
        </w:rPr>
        <w:t>3.2、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</w:rPr>
        <w:t>选择竞买方式</w:t>
      </w:r>
      <w:r>
        <w:tab/>
      </w:r>
      <w:r>
        <w:fldChar w:fldCharType="begin"/>
      </w:r>
      <w:r>
        <w:instrText xml:space="preserve"> PAGEREF _Toc526839353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"_Toc526839354" </w:instrText>
      </w:r>
      <w:r>
        <w:fldChar w:fldCharType="separate"/>
      </w:r>
      <w:r>
        <w:rPr>
          <w:rStyle w:val="15"/>
          <w:rFonts w:hint="eastAsia"/>
        </w:rPr>
        <w:t>3.3、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</w:rPr>
        <w:t>申请人信息填写</w:t>
      </w:r>
      <w:r>
        <w:tab/>
      </w:r>
      <w:r>
        <w:fldChar w:fldCharType="begin"/>
      </w:r>
      <w:r>
        <w:instrText xml:space="preserve"> PAGEREF _Toc526839354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"_Toc526839355" </w:instrText>
      </w:r>
      <w:r>
        <w:fldChar w:fldCharType="separate"/>
      </w:r>
      <w:r>
        <w:rPr>
          <w:rStyle w:val="15"/>
          <w:rFonts w:hint="eastAsia"/>
        </w:rPr>
        <w:t>3.4、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</w:rPr>
        <w:t>填写竞买申请书</w:t>
      </w:r>
      <w:r>
        <w:tab/>
      </w:r>
      <w:r>
        <w:fldChar w:fldCharType="begin"/>
      </w:r>
      <w:r>
        <w:instrText xml:space="preserve"> PAGEREF _Toc526839355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"_Toc526839356" </w:instrText>
      </w:r>
      <w:r>
        <w:fldChar w:fldCharType="separate"/>
      </w:r>
      <w:r>
        <w:rPr>
          <w:rStyle w:val="15"/>
          <w:rFonts w:hint="eastAsia"/>
        </w:rPr>
        <w:t>3.5、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  <w:lang w:val="en-US" w:eastAsia="zh-CN"/>
        </w:rPr>
        <w:t>资格审查</w:t>
      </w:r>
      <w:r>
        <w:tab/>
      </w:r>
      <w:r>
        <w:fldChar w:fldCharType="begin"/>
      </w:r>
      <w:r>
        <w:instrText xml:space="preserve"> PAGEREF _Toc526839356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hint="eastAsia" w:ascii="Calibri" w:hAnsi="Calibri" w:eastAsia="宋体"/>
          <w:szCs w:val="22"/>
          <w:lang w:val="en-US" w:eastAsia="zh-CN"/>
        </w:rPr>
      </w:pPr>
      <w:r>
        <w:fldChar w:fldCharType="begin"/>
      </w:r>
      <w:r>
        <w:instrText xml:space="preserve">HYPERLINK  \l "_Toc526839357" </w:instrText>
      </w:r>
      <w:r>
        <w:fldChar w:fldCharType="separate"/>
      </w:r>
      <w:r>
        <w:rPr>
          <w:rStyle w:val="15"/>
          <w:rFonts w:hint="eastAsia"/>
        </w:rPr>
        <w:t>3.6、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  <w:lang w:val="en-US" w:eastAsia="zh-CN"/>
        </w:rPr>
        <w:t>缴纳保证金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"_Toc526839358" </w:instrText>
      </w:r>
      <w:r>
        <w:fldChar w:fldCharType="separate"/>
      </w:r>
      <w:r>
        <w:rPr>
          <w:rStyle w:val="15"/>
          <w:rFonts w:hint="eastAsia"/>
        </w:rPr>
        <w:t>3.7、</w:t>
      </w:r>
      <w:r>
        <w:rPr>
          <w:rFonts w:ascii="Calibri" w:hAnsi="Calibri" w:eastAsia="宋体"/>
          <w:szCs w:val="22"/>
        </w:rPr>
        <w:tab/>
      </w:r>
      <w:r>
        <w:rPr>
          <w:rStyle w:val="15"/>
          <w:rFonts w:hint="eastAsia"/>
          <w:lang w:val="en-US" w:eastAsia="zh-CN"/>
        </w:rPr>
        <w:t>网络竞价</w:t>
      </w:r>
      <w:bookmarkStart w:id="25" w:name="_GoBack"/>
      <w:bookmarkEnd w:id="25"/>
      <w:r>
        <w:tab/>
      </w:r>
      <w:r>
        <w:fldChar w:fldCharType="begin"/>
      </w:r>
      <w:r>
        <w:instrText xml:space="preserve"> PAGEREF _Toc526839358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r>
        <w:rPr>
          <w:bCs/>
          <w:lang w:val="zh-CN"/>
        </w:rPr>
        <w:fldChar w:fldCharType="end"/>
      </w:r>
    </w:p>
    <w:p>
      <w:pPr>
        <w:ind w:firstLine="0" w:firstLineChars="0"/>
      </w:pP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  <w:rPr>
          <w:b/>
          <w:bCs/>
          <w:kern w:val="44"/>
          <w:sz w:val="32"/>
          <w:szCs w:val="28"/>
        </w:rPr>
      </w:pPr>
      <w:r>
        <w:br w:type="page"/>
      </w:r>
    </w:p>
    <w:p>
      <w:pPr>
        <w:pStyle w:val="2"/>
      </w:pPr>
      <w:bookmarkStart w:id="4" w:name="_Toc526839346"/>
      <w:r>
        <w:t>系统前期准备</w:t>
      </w:r>
      <w:bookmarkEnd w:id="0"/>
      <w:bookmarkEnd w:id="1"/>
      <w:bookmarkEnd w:id="2"/>
      <w:bookmarkEnd w:id="3"/>
      <w:bookmarkEnd w:id="4"/>
    </w:p>
    <w:p>
      <w:pPr>
        <w:pStyle w:val="3"/>
        <w:numPr>
          <w:ilvl w:val="1"/>
          <w:numId w:val="2"/>
        </w:numPr>
        <w:tabs>
          <w:tab w:val="clear" w:pos="567"/>
        </w:tabs>
        <w:jc w:val="both"/>
      </w:pPr>
      <w:bookmarkStart w:id="5" w:name="_Toc467870787"/>
      <w:bookmarkStart w:id="6" w:name="_Toc526839347"/>
      <w:bookmarkStart w:id="7" w:name="_Toc346703493"/>
      <w:bookmarkStart w:id="8" w:name="_Toc346701735"/>
      <w:bookmarkStart w:id="9" w:name="_Toc346183639"/>
      <w:r>
        <w:t>浏览器配置</w:t>
      </w:r>
      <w:bookmarkEnd w:id="5"/>
      <w:bookmarkEnd w:id="6"/>
      <w:bookmarkEnd w:id="7"/>
      <w:bookmarkEnd w:id="8"/>
      <w:bookmarkEnd w:id="9"/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10" w:name="_Toc526839348"/>
      <w:r>
        <w:t>设置可信任站点</w:t>
      </w:r>
      <w:bookmarkEnd w:id="10"/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</w:t>
      </w:r>
      <w:r>
        <w:rPr>
          <w:rFonts w:hint="eastAsia"/>
          <w:b/>
          <w:bCs/>
          <w:color w:val="FF0000"/>
          <w:spacing w:val="4"/>
          <w:lang w:val="en-US" w:eastAsia="zh-CN"/>
        </w:rPr>
        <w:t>IE</w:t>
      </w:r>
      <w:r>
        <w:rPr>
          <w:b/>
          <w:bCs/>
          <w:color w:val="FF0000"/>
          <w:spacing w:val="4"/>
        </w:rPr>
        <w:t>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562350" cy="3152775"/>
            <wp:effectExtent l="0" t="0" r="0" b="9525"/>
            <wp:docPr id="1" name="图片框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框 1025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2、弹出对话框之后，请选择“安全”选项卡，具体的界面如下图：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914650" cy="3476625"/>
            <wp:effectExtent l="0" t="0" r="0" b="9525"/>
            <wp:docPr id="2" name="图片框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框 1026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638550" cy="3971925"/>
            <wp:effectExtent l="0" t="0" r="0" b="9525"/>
            <wp:docPr id="3" name="图片框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框 1027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752850" cy="4152900"/>
            <wp:effectExtent l="0" t="0" r="0" b="0"/>
            <wp:docPr id="4" name="图片框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框 1028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输入系统地址，格式例如： www.xyggzyjy.gov.cn，然后点击“添加”按钮完成添加，再按“关闭”按钮退出。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543300" cy="4200525"/>
            <wp:effectExtent l="0" t="0" r="0" b="9525"/>
            <wp:docPr id="5" name="图片框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框 1029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①会出现一个窗口，把其中的Activex控件和插件的设置全部改为启用。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114800" cy="3829050"/>
            <wp:effectExtent l="0" t="0" r="0" b="0"/>
            <wp:docPr id="6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框 1030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②文件下载设置，开放文件下载的权限：设置为启用。</w:t>
      </w:r>
    </w:p>
    <w:p>
      <w:pPr>
        <w:jc w:val="center"/>
        <w:rPr>
          <w:szCs w:val="21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524250" cy="3705225"/>
            <wp:effectExtent l="0" t="0" r="0" b="9525"/>
            <wp:docPr id="7" name="图片框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框 1031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11" w:name="_Toc467870789"/>
      <w:bookmarkStart w:id="12" w:name="_Toc526839349"/>
      <w:bookmarkStart w:id="13" w:name="_Toc346183641"/>
      <w:bookmarkStart w:id="14" w:name="_Toc346703495"/>
      <w:bookmarkStart w:id="15" w:name="_Toc346701737"/>
      <w:r>
        <w:t>关闭拦截工具</w:t>
      </w:r>
      <w:bookmarkEnd w:id="11"/>
      <w:bookmarkEnd w:id="12"/>
      <w:bookmarkEnd w:id="13"/>
      <w:bookmarkEnd w:id="14"/>
      <w:bookmarkEnd w:id="15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16"/>
        <w:ind w:firstLine="0" w:firstLineChars="0"/>
        <w:jc w:val="center"/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095875" cy="2324100"/>
            <wp:effectExtent l="0" t="0" r="9525" b="0"/>
            <wp:docPr id="8" name="图片框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框 1032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2"/>
        <w:rPr>
          <w:b/>
          <w:szCs w:val="21"/>
        </w:rPr>
      </w:pPr>
    </w:p>
    <w:p>
      <w:pPr>
        <w:widowControl/>
        <w:ind w:firstLine="422"/>
        <w:rPr>
          <w:b/>
          <w:szCs w:val="21"/>
        </w:rPr>
      </w:pPr>
    </w:p>
    <w:p>
      <w:pPr>
        <w:widowControl/>
        <w:spacing w:line="240" w:lineRule="auto"/>
        <w:ind w:firstLine="0" w:firstLineChars="0"/>
        <w:rPr>
          <w:b/>
        </w:rPr>
      </w:pPr>
      <w:r>
        <w:rPr>
          <w:b/>
        </w:rPr>
        <w:br w:type="page"/>
      </w:r>
    </w:p>
    <w:p>
      <w:pPr>
        <w:pStyle w:val="2"/>
      </w:pPr>
      <w:bookmarkStart w:id="16" w:name="_Toc526839350"/>
      <w:r>
        <w:rPr>
          <w:rFonts w:hint="eastAsia"/>
        </w:rPr>
        <w:t>系统</w:t>
      </w:r>
      <w:r>
        <w:t>登陆</w:t>
      </w:r>
      <w:bookmarkEnd w:id="16"/>
    </w:p>
    <w:p>
      <w:r>
        <w:rPr>
          <w:rFonts w:hint="eastAsia"/>
          <w:b/>
          <w:bCs/>
          <w:color w:val="FF0000"/>
        </w:rPr>
        <w:t>IE</w:t>
      </w:r>
      <w:r>
        <w:rPr>
          <w:b/>
          <w:bCs/>
          <w:color w:val="FF0000"/>
        </w:rPr>
        <w:t>浏览器</w:t>
      </w:r>
      <w:r>
        <w:rPr>
          <w:rFonts w:hint="eastAsia"/>
        </w:rPr>
        <w:t>访问荥阳市电子招投标交易</w:t>
      </w:r>
      <w:r>
        <w:t>平台</w:t>
      </w:r>
      <w:r>
        <w:fldChar w:fldCharType="begin"/>
      </w:r>
      <w:r>
        <w:instrText xml:space="preserve">HYPERLINK "http://www.xyggzyjy.gov.cn:8081/TPBidder" </w:instrText>
      </w:r>
      <w:r>
        <w:fldChar w:fldCharType="separate"/>
      </w:r>
      <w:r>
        <w:rPr>
          <w:rStyle w:val="15"/>
        </w:rPr>
        <w:t>http://www.xyggzyjy.gov.cn:8081/TPBidder</w:t>
      </w:r>
      <w:r>
        <w:fldChar w:fldCharType="end"/>
      </w:r>
      <w:r>
        <w:rPr>
          <w:rFonts w:hint="eastAsia"/>
        </w:rPr>
        <w:t>，输入</w:t>
      </w:r>
      <w:r>
        <w:t>账号密码登陆系统。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997960"/>
            <wp:effectExtent l="0" t="0" r="2540" b="2540"/>
            <wp:docPr id="9" name="图片框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框 1033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7" w:name="_Toc526839351"/>
      <w:r>
        <w:rPr>
          <w:rFonts w:hint="eastAsia"/>
        </w:rPr>
        <w:t>竞价报名</w:t>
      </w:r>
      <w:bookmarkEnd w:id="17"/>
    </w:p>
    <w:p>
      <w:pPr>
        <w:ind w:firstLineChars="0"/>
      </w:pPr>
      <w:r>
        <w:rPr>
          <w:rFonts w:hint="eastAsia"/>
        </w:rPr>
        <w:t>选择需要</w:t>
      </w:r>
      <w:r>
        <w:t>报名的项目，点击最右侧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90500" cy="180975"/>
            <wp:effectExtent l="0" t="0" r="0" b="9525"/>
            <wp:docPr id="10" name="图片框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框 1034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按钮</w:t>
      </w:r>
      <w:r>
        <w:t>进行报名</w:t>
      </w:r>
      <w:r>
        <w:rPr>
          <w:rFonts w:hint="eastAsia"/>
        </w:rPr>
        <w:t>。</w:t>
      </w:r>
    </w:p>
    <w:p>
      <w:pPr>
        <w:ind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1243330"/>
            <wp:effectExtent l="0" t="0" r="2540" b="13970"/>
            <wp:docPr id="11" name="图片框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框 1035"/>
                    <pic:cNvPicPr>
                      <a:picLocks noChangeAspect="1"/>
                    </pic:cNvPicPr>
                  </pic:nvPicPr>
                  <pic:blipFill>
                    <a:blip r:embed="rId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526839352"/>
      <w:r>
        <w:rPr>
          <w:rFonts w:hint="eastAsia"/>
        </w:rPr>
        <w:t>阅读报名</w:t>
      </w:r>
      <w:r>
        <w:t>规则</w:t>
      </w:r>
      <w:bookmarkEnd w:id="18"/>
    </w:p>
    <w:p>
      <w:r>
        <w:rPr>
          <w:rFonts w:hint="eastAsia"/>
        </w:rPr>
        <w:t>报名</w:t>
      </w:r>
      <w:r>
        <w:t>规则阅读</w:t>
      </w:r>
      <w:r>
        <w:rPr>
          <w:rFonts w:hint="eastAsia"/>
        </w:rPr>
        <w:t>完成</w:t>
      </w:r>
      <w:r>
        <w:t>后，点击</w:t>
      </w:r>
      <w:r>
        <w:rPr>
          <w:rFonts w:hint="eastAsia"/>
        </w:rPr>
        <w:t>“同意”按钮</w:t>
      </w:r>
      <w:r>
        <w:t>进行下一步操作。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037840"/>
            <wp:effectExtent l="0" t="0" r="2540" b="10160"/>
            <wp:docPr id="12" name="图片框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框 1036"/>
                    <pic:cNvPicPr>
                      <a:picLocks noChangeAspect="1"/>
                    </pic:cNvPicPr>
                  </pic:nvPicPr>
                  <pic:blipFill>
                    <a:blip r:embed="rId2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526839353"/>
      <w:r>
        <w:rPr>
          <w:rFonts w:hint="eastAsia"/>
        </w:rPr>
        <w:t>选择竞买方式</w:t>
      </w:r>
      <w:bookmarkEnd w:id="19"/>
    </w:p>
    <w:p>
      <w:pPr>
        <w:ind w:left="420" w:firstLine="0" w:firstLineChars="0"/>
      </w:pPr>
      <w:r>
        <w:rPr>
          <w:rFonts w:hint="eastAsia"/>
        </w:rPr>
        <w:t>根据</w:t>
      </w:r>
      <w:r>
        <w:t>需要选择</w:t>
      </w:r>
      <w:r>
        <w:rPr>
          <w:rFonts w:hint="eastAsia"/>
        </w:rPr>
        <w:t>“单独</w:t>
      </w:r>
      <w:r>
        <w:t>申请</w:t>
      </w:r>
      <w:r>
        <w:rPr>
          <w:rFonts w:hint="eastAsia"/>
        </w:rPr>
        <w:t>”或“联合申请”</w:t>
      </w:r>
    </w:p>
    <w:p>
      <w:pPr>
        <w:ind w:left="420"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457450"/>
            <wp:effectExtent l="0" t="0" r="2540" b="0"/>
            <wp:docPr id="13" name="图片框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框 1037"/>
                    <pic:cNvPicPr>
                      <a:picLocks noChangeAspect="1"/>
                    </pic:cNvPicPr>
                  </pic:nvPicPr>
                  <pic:blipFill>
                    <a:blip r:embed="rId2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526839354"/>
      <w:r>
        <w:rPr>
          <w:rFonts w:hint="eastAsia"/>
        </w:rPr>
        <w:t>申请人</w:t>
      </w:r>
      <w:r>
        <w:t>信息填写</w:t>
      </w:r>
      <w:bookmarkEnd w:id="20"/>
    </w:p>
    <w:p>
      <w:r>
        <w:rPr>
          <w:rFonts w:hint="eastAsia"/>
        </w:rPr>
        <w:t>以“单独</w:t>
      </w:r>
      <w:r>
        <w:t>申请</w:t>
      </w:r>
      <w:r>
        <w:rPr>
          <w:rFonts w:hint="eastAsia"/>
        </w:rPr>
        <w:t>”为例</w:t>
      </w:r>
      <w:r>
        <w:t>，选择单独申请后，</w:t>
      </w:r>
      <w:r>
        <w:rPr>
          <w:rFonts w:hint="eastAsia"/>
        </w:rPr>
        <w:t>填写竞买人</w:t>
      </w:r>
      <w:r>
        <w:t>相关</w:t>
      </w:r>
      <w:r>
        <w:rPr>
          <w:rFonts w:hint="eastAsia"/>
        </w:rPr>
        <w:t>基本</w:t>
      </w:r>
      <w:r>
        <w:t>信息。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1730375"/>
            <wp:effectExtent l="0" t="0" r="2540" b="3175"/>
            <wp:docPr id="14" name="图片框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框 1038"/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526839355"/>
      <w:r>
        <w:rPr>
          <w:rFonts w:hint="eastAsia"/>
        </w:rPr>
        <w:t>填写竞买申请书</w:t>
      </w:r>
      <w:bookmarkEnd w:id="21"/>
    </w:p>
    <w:p>
      <w:r>
        <w:rPr>
          <w:rFonts w:hint="eastAsia"/>
        </w:rPr>
        <w:t>上传报名所需</w:t>
      </w:r>
      <w:r>
        <w:t>文件后，点击申请按钮</w:t>
      </w: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491105"/>
            <wp:effectExtent l="0" t="0" r="2540" b="4445"/>
            <wp:docPr id="15" name="图片框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框 1039"/>
                    <pic:cNvPicPr>
                      <a:picLocks noChangeAspect="1"/>
                    </pic:cNvPicPr>
                  </pic:nvPicPr>
                  <pic:blipFill>
                    <a:blip r:embed="rId2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color w:val="FF0000"/>
        </w:rPr>
      </w:pPr>
    </w:p>
    <w:p>
      <w:pPr>
        <w:pStyle w:val="3"/>
        <w:rPr>
          <w:rFonts w:hint="eastAsia"/>
          <w:lang w:val="en-US" w:eastAsia="zh-CN"/>
        </w:rPr>
      </w:pPr>
      <w:bookmarkStart w:id="22" w:name="_Toc526839356"/>
      <w:r>
        <w:rPr>
          <w:rFonts w:hint="eastAsia"/>
          <w:lang w:val="en-US" w:eastAsia="zh-CN"/>
        </w:rPr>
        <w:t>资格审查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携带申请资料到交易中心七楼信息科进行资格审查，审查通过之后，</w:t>
      </w:r>
      <w:r>
        <w:rPr>
          <w:rFonts w:hint="eastAsia"/>
          <w:lang w:val="en-US" w:eastAsia="zh-CN"/>
        </w:rPr>
        <w:t>方可缴纳保证金。</w:t>
      </w:r>
    </w:p>
    <w:p>
      <w:pPr>
        <w:ind w:left="0" w:leftChars="0" w:firstLine="0" w:firstLineChars="0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3.6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、缴纳保证金</w:t>
      </w:r>
    </w:p>
    <w:p>
      <w:r>
        <w:rPr>
          <w:rFonts w:hint="eastAsia"/>
          <w:lang w:val="en-US" w:eastAsia="zh-CN"/>
        </w:rPr>
        <w:t>资格审查通过后，</w:t>
      </w:r>
      <w:r>
        <w:rPr>
          <w:rFonts w:hint="eastAsia"/>
        </w:rPr>
        <w:t>进入下图所示页面：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439035"/>
            <wp:effectExtent l="0" t="0" r="2540" b="18415"/>
            <wp:docPr id="16" name="图片框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框 1040"/>
                    <pic:cNvPicPr>
                      <a:picLocks noChangeAspect="1"/>
                    </pic:cNvPicPr>
                  </pic:nvPicPr>
                  <pic:blipFill>
                    <a:blip r:embed="rId2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选择保证金银行，之后点击生成子账号，跳转到子账号页面。如下图所示：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572385"/>
            <wp:effectExtent l="0" t="0" r="2540" b="18415"/>
            <wp:docPr id="17" name="图片框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框 1041"/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按照生成的保证金账号 信息缴纳保证金账号，缴纳完成之后，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保证金查询按钮，进入查询页面，在该页面中心，先确认缴纳账号和缴纳账号户名是否正确，如果不正确，请进行修改。修改之后点记查询按钮，查询完成之后，会在保证金支付信息列表里边展示具体缴纳信息。如下图所示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139950"/>
            <wp:effectExtent l="0" t="0" r="2540" b="12700"/>
            <wp:docPr id="18" name="图片框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框 1042"/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</w:pPr>
      <w:r>
        <w:rPr>
          <w:rFonts w:hint="eastAsia"/>
          <w:lang w:val="en-US" w:eastAsia="zh-CN"/>
        </w:rPr>
        <w:t>3.7、</w:t>
      </w:r>
      <w:r>
        <w:rPr>
          <w:rFonts w:hint="eastAsia"/>
        </w:rPr>
        <w:t>报名完成</w:t>
      </w:r>
      <w:bookmarkEnd w:id="22"/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486025"/>
            <wp:effectExtent l="0" t="0" r="2540" b="9525"/>
            <wp:docPr id="19" name="图片框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框 1043"/>
                    <pic:cNvPicPr>
                      <a:picLocks noChangeAspect="1"/>
                    </pic:cNvPicPr>
                  </pic:nvPicPr>
                  <pic:blipFill>
                    <a:blip r:embed="rId2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资格审查通过之后，点击“资格</w:t>
      </w:r>
      <w:r>
        <w:t>确认书</w:t>
      </w:r>
      <w:r>
        <w:rPr>
          <w:rFonts w:hint="eastAsia"/>
        </w:rPr>
        <w:t>”按钮，</w:t>
      </w:r>
      <w:r>
        <w:t>可以查看资格确认书内容。</w:t>
      </w:r>
      <w:r>
        <w:rPr>
          <w:rFonts w:hint="eastAsia"/>
        </w:rPr>
        <w:t>此时即完成产权报名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5407025"/>
            <wp:effectExtent l="0" t="0" r="2540" b="3175"/>
            <wp:docPr id="20" name="图片框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框 1044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关闭申购页面之后，在报名列表页面，可以看到报名状态为“已报名”。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845185"/>
            <wp:effectExtent l="0" t="0" r="2540" b="12065"/>
            <wp:docPr id="21" name="图片框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框 1045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</w:pPr>
      <w:bookmarkStart w:id="23" w:name="_Toc526839357"/>
      <w:r>
        <w:rPr>
          <w:rFonts w:hint="eastAsia"/>
          <w:lang w:val="en-US" w:eastAsia="zh-CN"/>
        </w:rPr>
        <w:t>3.7、</w:t>
      </w:r>
      <w:r>
        <w:rPr>
          <w:rFonts w:hint="eastAsia"/>
        </w:rPr>
        <w:t>网络竞价</w:t>
      </w:r>
      <w:bookmarkEnd w:id="23"/>
    </w:p>
    <w:p>
      <w:r>
        <w:rPr>
          <w:rFonts w:hint="eastAsia"/>
        </w:rPr>
        <w:t>待保证金查询完成，且缴纳信息都正确之后</w:t>
      </w:r>
      <w:r>
        <w:t>，</w:t>
      </w:r>
      <w:r>
        <w:rPr>
          <w:rFonts w:hint="eastAsia"/>
        </w:rPr>
        <w:t>需视为报名成功，竞价开始之后才能进入竞价页面</w:t>
      </w:r>
      <w:r>
        <w:t>。</w:t>
      </w:r>
    </w:p>
    <w:p>
      <w:r>
        <w:rPr>
          <w:rFonts w:hint="eastAsia"/>
        </w:rPr>
        <w:t>根据</w:t>
      </w:r>
      <w:r>
        <w:t>竞价时间</w:t>
      </w:r>
      <w:r>
        <w:rPr>
          <w:rFonts w:hint="eastAsia"/>
        </w:rPr>
        <w:t>开始</w:t>
      </w:r>
      <w:r>
        <w:t>时间，进入</w:t>
      </w:r>
      <w:r>
        <w:rPr>
          <w:rFonts w:hint="eastAsia"/>
        </w:rPr>
        <w:t>竞价环节</w:t>
      </w:r>
      <w:r>
        <w:t>。</w:t>
      </w:r>
      <w:r>
        <w:rPr>
          <w:rFonts w:hint="eastAsia"/>
          <w:lang w:eastAsia="zh-CN"/>
        </w:rPr>
        <w:t>竞价时必须使用</w:t>
      </w:r>
      <w:r>
        <w:rPr>
          <w:rFonts w:hint="eastAsia"/>
          <w:b/>
          <w:bCs/>
          <w:color w:val="FF0000"/>
          <w:lang w:val="en-US" w:eastAsia="zh-CN"/>
        </w:rPr>
        <w:t>IE浏览器</w:t>
      </w:r>
      <w:r>
        <w:rPr>
          <w:rFonts w:hint="eastAsia"/>
          <w:lang w:val="en-US" w:eastAsia="zh-CN"/>
        </w:rPr>
        <w:t>，否则将影响报价等操作，一切后果由竞买人自行承担。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1388110"/>
            <wp:effectExtent l="0" t="0" r="2540" b="2540"/>
            <wp:docPr id="22" name="图片框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框 1046"/>
                    <pic:cNvPicPr>
                      <a:picLocks noChangeAspect="1"/>
                    </pic:cNvPicPr>
                  </pic:nvPicPr>
                  <pic:blipFill>
                    <a:blip r:embed="rId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阅读并同意电子竞价风险告知及接受确认书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550160"/>
            <wp:effectExtent l="0" t="0" r="2540" b="2540"/>
            <wp:docPr id="23" name="图片框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框 1047"/>
                    <pic:cNvPicPr>
                      <a:picLocks noChangeAspect="1"/>
                    </pic:cNvPicPr>
                  </pic:nvPicPr>
                  <pic:blipFill>
                    <a:blip r:embed="rId3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根据起始价选择阶梯倍数</w:t>
      </w:r>
      <w:r>
        <w:t>，发送报价</w:t>
      </w:r>
      <w:r>
        <w:rPr>
          <w:rFonts w:hint="eastAsia"/>
        </w:rPr>
        <w:t>。</w:t>
      </w:r>
    </w:p>
    <w:p>
      <w:r>
        <w:rPr>
          <w:rFonts w:hint="eastAsia"/>
        </w:rPr>
        <w:t>快速</w:t>
      </w:r>
      <w:r>
        <w:t>报价</w:t>
      </w:r>
      <w:r>
        <w:rPr>
          <w:rFonts w:hint="eastAsia"/>
        </w:rPr>
        <w:t>：</w:t>
      </w:r>
      <w:r>
        <w:t>默认以</w:t>
      </w:r>
      <w:r>
        <w:rPr>
          <w:rFonts w:hint="eastAsia"/>
        </w:rPr>
        <w:t>1倍</w:t>
      </w:r>
      <w:r>
        <w:t>起始价</w:t>
      </w:r>
      <w:r>
        <w:rPr>
          <w:rFonts w:hint="eastAsia"/>
        </w:rPr>
        <w:t>金额</w:t>
      </w:r>
      <w:r>
        <w:t>，快速报价。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409950"/>
            <wp:effectExtent l="0" t="0" r="2540" b="0"/>
            <wp:docPr id="24" name="图片框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框 1048"/>
                    <pic:cNvPicPr>
                      <a:picLocks noChangeAspect="1"/>
                    </pic:cNvPicPr>
                  </pic:nvPicPr>
                  <pic:blipFill>
                    <a:blip r:embed="rId3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color w:val="FF0000"/>
          <w:sz w:val="22"/>
        </w:rPr>
      </w:pPr>
      <w:r>
        <w:rPr>
          <w:rFonts w:hint="eastAsia"/>
          <w:color w:val="FF0000"/>
          <w:sz w:val="22"/>
        </w:rPr>
        <w:t>限时</w:t>
      </w:r>
      <w:r>
        <w:rPr>
          <w:color w:val="FF0000"/>
          <w:sz w:val="22"/>
        </w:rPr>
        <w:t>竞价</w:t>
      </w:r>
      <w:r>
        <w:rPr>
          <w:rFonts w:hint="eastAsia"/>
          <w:color w:val="FF0000"/>
          <w:sz w:val="22"/>
        </w:rPr>
        <w:t>：当有2个</w:t>
      </w:r>
      <w:r>
        <w:rPr>
          <w:color w:val="FF0000"/>
          <w:sz w:val="22"/>
        </w:rPr>
        <w:t>以上竞买人报价时，</w:t>
      </w:r>
      <w:r>
        <w:rPr>
          <w:rFonts w:hint="eastAsia"/>
          <w:color w:val="FF0000"/>
          <w:sz w:val="22"/>
          <w:lang w:eastAsia="zh-CN"/>
        </w:rPr>
        <w:t>自由</w:t>
      </w:r>
      <w:r>
        <w:rPr>
          <w:color w:val="FF0000"/>
          <w:sz w:val="22"/>
        </w:rPr>
        <w:t>竞价结束后，</w:t>
      </w:r>
      <w:r>
        <w:rPr>
          <w:rFonts w:hint="eastAsia"/>
          <w:color w:val="FF0000"/>
          <w:sz w:val="22"/>
        </w:rPr>
        <w:t>系统进入限时竞价环节。限时竞价设置报价限时为X分钟，X分钟内任意竞买人提交新的报价，系统都会重新开始X分钟倒计时。无人报价时，X分钟倒计时结束仍然没有竞买人提交新的报价，限时竞价结束。</w:t>
      </w:r>
    </w:p>
    <w:p>
      <w:pPr>
        <w:pStyle w:val="3"/>
        <w:numPr>
          <w:numId w:val="0"/>
        </w:numPr>
        <w:ind w:leftChars="0"/>
      </w:pPr>
      <w:bookmarkStart w:id="24" w:name="_Toc526839358"/>
      <w:r>
        <w:rPr>
          <w:rFonts w:hint="eastAsia"/>
          <w:lang w:val="en-US" w:eastAsia="zh-CN"/>
        </w:rPr>
        <w:t>3.8、</w:t>
      </w:r>
      <w:r>
        <w:rPr>
          <w:rFonts w:hint="eastAsia"/>
        </w:rPr>
        <w:t>竞价</w:t>
      </w:r>
      <w:r>
        <w:t>结束</w:t>
      </w:r>
      <w:bookmarkEnd w:id="24"/>
    </w:p>
    <w:p>
      <w:r>
        <w:rPr>
          <w:rFonts w:hint="eastAsia"/>
        </w:rPr>
        <w:t>成功</w:t>
      </w:r>
      <w:r>
        <w:t>竞得截图如下：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395345"/>
            <wp:effectExtent l="0" t="0" r="2540" b="14605"/>
            <wp:docPr id="25" name="图片框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框 1049"/>
                    <pic:cNvPicPr>
                      <a:picLocks noChangeAspect="1"/>
                    </pic:cNvPicPr>
                  </pic:nvPicPr>
                  <pic:blipFill>
                    <a:blip r:embed="rId3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未竞得截图</w:t>
      </w:r>
      <w:r>
        <w:t>如下</w:t>
      </w:r>
      <w:r>
        <w:rPr>
          <w:rFonts w:hint="eastAsia"/>
        </w:rPr>
        <w:t>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402330"/>
            <wp:effectExtent l="0" t="0" r="2540" b="7620"/>
            <wp:docPr id="26" name="图片框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框 1050"/>
                    <pic:cNvPicPr>
                      <a:picLocks noChangeAspect="1"/>
                    </pic:cNvPicPr>
                  </pic:nvPicPr>
                  <pic:blipFill>
                    <a:blip r:embed="rId3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6A2F4AB3"/>
    <w:multiLevelType w:val="multilevel"/>
    <w:tmpl w:val="6A2F4AB3"/>
    <w:lvl w:ilvl="0" w:tentative="0">
      <w:start w:val="1"/>
      <w:numFmt w:val="japaneseCounting"/>
      <w:suff w:val="nothing"/>
      <w:lvlText w:val="%1、"/>
      <w:lvlJc w:val="left"/>
      <w:pPr>
        <w:ind w:left="2126" w:hanging="425"/>
      </w:pPr>
      <w:rPr>
        <w:rFonts w:ascii="Times New Roman" w:hAnsi="Times New Roman" w:eastAsia="宋体" w:cs="Times New Roman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A423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3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2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5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Hyperlink"/>
    <w:basedOn w:val="14"/>
    <w:qFormat/>
    <w:uiPriority w:val="99"/>
    <w:rPr>
      <w:color w:val="0000FF"/>
      <w:u w:val="single"/>
    </w:rPr>
  </w:style>
  <w:style w:type="paragraph" w:customStyle="1" w:styleId="1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7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18">
    <w:name w:val="页眉 字符"/>
    <w:basedOn w:val="14"/>
    <w:link w:val="10"/>
    <w:uiPriority w:val="99"/>
    <w:rPr>
      <w:sz w:val="18"/>
      <w:szCs w:val="18"/>
    </w:rPr>
  </w:style>
  <w:style w:type="character" w:customStyle="1" w:styleId="19">
    <w:name w:val="页脚 字符"/>
    <w:basedOn w:val="14"/>
    <w:link w:val="9"/>
    <w:uiPriority w:val="99"/>
    <w:rPr>
      <w:sz w:val="18"/>
      <w:szCs w:val="18"/>
    </w:rPr>
  </w:style>
  <w:style w:type="character" w:customStyle="1" w:styleId="20">
    <w:name w:val="标题 1 字符"/>
    <w:basedOn w:val="14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1">
    <w:name w:val="标题 2 字符"/>
    <w:basedOn w:val="14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2">
    <w:name w:val="标题 3 字符"/>
    <w:basedOn w:val="14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3">
    <w:name w:val="标题 4 字符"/>
    <w:basedOn w:val="14"/>
    <w:link w:val="5"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24">
    <w:name w:val="标题 5 字符"/>
    <w:basedOn w:val="14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5">
    <w:name w:val="批注框文本 字符"/>
    <w:basedOn w:val="14"/>
    <w:link w:val="8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Epoint</Company>
  <Pages>15</Pages>
  <Words>353</Words>
  <Characters>2016</Characters>
  <Lines>16</Lines>
  <Paragraphs>4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2019-05-07T07:58:00Z</dcterms:created>
  <dc:creator>WangHonyuan</dc:creator>
  <cp:lastModifiedBy>Socialism</cp:lastModifiedBy>
  <dcterms:modified xsi:type="dcterms:W3CDTF">2020-11-11T08:08:15Z</dcterms:modified>
  <dc:title>荥阳市公共资源交易中心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